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0" w:lineRule="exact"/>
        <w:contextualSpacing/>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1</w:t>
      </w:r>
      <w:bookmarkStart w:id="3" w:name="_GoBack"/>
      <w:bookmarkEnd w:id="3"/>
    </w:p>
    <w:p>
      <w:pPr>
        <w:widowControl/>
        <w:spacing w:line="530" w:lineRule="exact"/>
        <w:ind w:firstLine="602" w:firstLineChars="200"/>
        <w:contextualSpacing/>
        <w:rPr>
          <w:rFonts w:ascii="Times New Roman" w:hAnsi="Times New Roman" w:eastAsia="仿宋_GB2312" w:cs="Times New Roman"/>
          <w:b/>
          <w:sz w:val="30"/>
          <w:szCs w:val="30"/>
        </w:rPr>
      </w:pPr>
    </w:p>
    <w:p>
      <w:pPr>
        <w:adjustRightInd w:val="0"/>
        <w:spacing w:line="53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第八届高等学校科学研究优秀成果奖(人文社会科学)</w:t>
      </w:r>
    </w:p>
    <w:p>
      <w:pPr>
        <w:adjustRightInd w:val="0"/>
        <w:spacing w:line="53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实施办法</w:t>
      </w:r>
    </w:p>
    <w:p>
      <w:pPr>
        <w:adjustRightInd w:val="0"/>
        <w:spacing w:line="530" w:lineRule="exact"/>
        <w:contextualSpacing/>
        <w:jc w:val="center"/>
        <w:rPr>
          <w:rFonts w:ascii="Times New Roman" w:hAnsi="Times New Roman" w:eastAsia="仿宋_GB2312" w:cs="Times New Roman"/>
          <w:b/>
          <w:sz w:val="30"/>
          <w:szCs w:val="30"/>
        </w:rPr>
      </w:pPr>
    </w:p>
    <w:p>
      <w:pPr>
        <w:widowControl/>
        <w:spacing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为深入学习贯彻习近平新时代中国特色社会主义思想，深入学习贯彻党的十九大</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十九届二中、三中全会精神</w:t>
      </w:r>
      <w:r>
        <w:rPr>
          <w:rFonts w:hint="eastAsia" w:ascii="Times New Roman" w:hAnsi="Times New Roman" w:eastAsia="仿宋_GB2312" w:cs="Times New Roman"/>
          <w:sz w:val="30"/>
          <w:szCs w:val="30"/>
        </w:rPr>
        <w:t>，深入</w:t>
      </w:r>
      <w:r>
        <w:rPr>
          <w:rFonts w:ascii="Times New Roman" w:hAnsi="Times New Roman" w:eastAsia="仿宋_GB2312" w:cs="Times New Roman"/>
          <w:sz w:val="30"/>
          <w:szCs w:val="30"/>
        </w:rPr>
        <w:t>贯彻落实习近平总书记关于教育的重要论述和全国教育大会精神，全面贯彻落实</w:t>
      </w:r>
      <w:r>
        <w:rPr>
          <w:rFonts w:hint="eastAsia" w:ascii="Times New Roman" w:hAnsi="Times New Roman" w:eastAsia="仿宋_GB2312" w:cs="Times New Roman"/>
          <w:sz w:val="30"/>
          <w:szCs w:val="30"/>
        </w:rPr>
        <w:t>中共中央印发的</w:t>
      </w:r>
      <w:r>
        <w:rPr>
          <w:rFonts w:ascii="Times New Roman" w:hAnsi="Times New Roman" w:eastAsia="仿宋_GB2312" w:cs="Times New Roman"/>
          <w:sz w:val="30"/>
          <w:szCs w:val="30"/>
        </w:rPr>
        <w:t>《关于加快构建中国特色哲学社会科学的意见》精神，推进高等学校科学研究优秀成果奖(人文社会科学)评选工作进一步科学化、制度化、规范化，增强评奖工作的公开性、公正性和透明度，根据《高等学校科学研究优秀成果奖(人文社会科学)奖励办法》（教社科〔2009〕1号），结合历届评奖工作情况，制定本办法。</w:t>
      </w:r>
    </w:p>
    <w:p>
      <w:pPr>
        <w:widowControl/>
        <w:spacing w:line="530" w:lineRule="exact"/>
        <w:ind w:firstLine="600" w:firstLineChars="200"/>
        <w:contextualSpacing/>
        <w:rPr>
          <w:rFonts w:ascii="Times New Roman" w:hAnsi="Times New Roman" w:eastAsia="仿宋_GB2312"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第一章</w:t>
      </w:r>
      <w:r>
        <w:rPr>
          <w:rFonts w:ascii="Times New Roman" w:hAnsi="Times New Roman" w:eastAsia="黑体" w:cs="Times New Roman"/>
          <w:sz w:val="30"/>
          <w:szCs w:val="30"/>
        </w:rPr>
        <w:t xml:space="preserve">  </w:t>
      </w:r>
      <w:r>
        <w:rPr>
          <w:rFonts w:ascii="Times New Roman" w:hAnsi="黑体" w:eastAsia="黑体" w:cs="Times New Roman"/>
          <w:sz w:val="30"/>
          <w:szCs w:val="30"/>
        </w:rPr>
        <w:t>指导思想</w:t>
      </w:r>
    </w:p>
    <w:p>
      <w:pPr>
        <w:adjustRightInd w:val="0"/>
        <w:spacing w:beforeLines="50" w:afterLines="50" w:line="530" w:lineRule="exact"/>
        <w:contextualSpacing/>
        <w:jc w:val="center"/>
        <w:rPr>
          <w:rFonts w:ascii="Times New Roman" w:hAnsi="Times New Roman" w:eastAsia="黑体" w:cs="Times New Roman"/>
          <w:sz w:val="30"/>
          <w:szCs w:val="30"/>
        </w:rPr>
      </w:pPr>
    </w:p>
    <w:p>
      <w:pPr>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第一条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高举中国特色社会主义伟大旗帜，</w:t>
      </w:r>
      <w:r>
        <w:rPr>
          <w:rFonts w:hint="eastAsia" w:ascii="Times New Roman" w:hAnsi="Times New Roman" w:eastAsia="仿宋_GB2312" w:cs="Times New Roman"/>
          <w:sz w:val="30"/>
          <w:szCs w:val="30"/>
        </w:rPr>
        <w:t>以</w:t>
      </w:r>
      <w:r>
        <w:rPr>
          <w:rFonts w:ascii="Times New Roman" w:hAnsi="Times New Roman" w:eastAsia="仿宋_GB2312" w:cs="Times New Roman"/>
          <w:sz w:val="30"/>
          <w:szCs w:val="30"/>
        </w:rPr>
        <w:t>习近平新时代中国特色社会主义思想</w:t>
      </w:r>
      <w:r>
        <w:rPr>
          <w:rFonts w:hint="eastAsia" w:ascii="Times New Roman" w:hAnsi="Times New Roman" w:eastAsia="仿宋_GB2312" w:cs="Times New Roman"/>
          <w:sz w:val="30"/>
          <w:szCs w:val="30"/>
        </w:rPr>
        <w:t>为指导</w:t>
      </w:r>
      <w:r>
        <w:rPr>
          <w:rFonts w:ascii="Times New Roman" w:hAnsi="Times New Roman" w:eastAsia="仿宋_GB2312" w:cs="Times New Roman"/>
          <w:sz w:val="30"/>
          <w:szCs w:val="30"/>
        </w:rPr>
        <w:t>，以“百花齐放、百家争鸣”为方针，以“四个服务”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思想库”“智囊团”作用。</w:t>
      </w:r>
    </w:p>
    <w:p>
      <w:pPr>
        <w:spacing w:line="530" w:lineRule="exact"/>
        <w:ind w:firstLine="600" w:firstLineChars="200"/>
        <w:contextualSpacing/>
        <w:rPr>
          <w:rFonts w:ascii="Times New Roman" w:hAnsi="Times New Roman" w:eastAsia="仿宋_GB2312"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第二章</w:t>
      </w:r>
      <w:r>
        <w:rPr>
          <w:rFonts w:ascii="Times New Roman" w:hAnsi="Times New Roman" w:eastAsia="黑体" w:cs="Times New Roman"/>
          <w:sz w:val="30"/>
          <w:szCs w:val="30"/>
        </w:rPr>
        <w:t xml:space="preserve"> </w:t>
      </w:r>
      <w:r>
        <w:rPr>
          <w:rFonts w:ascii="Times New Roman" w:hAnsi="黑体" w:eastAsia="黑体" w:cs="Times New Roman"/>
          <w:sz w:val="30"/>
          <w:szCs w:val="30"/>
        </w:rPr>
        <w:t>奖励范围和奖项设置</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napToGrid w:val="0"/>
        <w:spacing w:line="530" w:lineRule="exact"/>
        <w:ind w:firstLine="600" w:firstLineChars="200"/>
        <w:rPr>
          <w:rFonts w:ascii="Times New Roman" w:hAnsi="Times New Roman" w:eastAsia="仿宋_GB2312" w:cs="Times New Roman"/>
          <w:sz w:val="30"/>
          <w:szCs w:val="30"/>
        </w:rPr>
      </w:pPr>
      <w:r>
        <w:rPr>
          <w:rFonts w:ascii="Times New Roman" w:hAnsi="楷体" w:eastAsia="楷体" w:cs="Times New Roman"/>
          <w:sz w:val="30"/>
          <w:szCs w:val="30"/>
        </w:rPr>
        <w:t>第二条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第三条</w:t>
      </w:r>
      <w:r>
        <w:rPr>
          <w:rFonts w:ascii="Times New Roman" w:hAnsi="Times New Roman" w:eastAsia="仿宋_GB2312" w:cs="Times New Roman"/>
          <w:sz w:val="30"/>
          <w:szCs w:val="30"/>
        </w:rPr>
        <w:t xml:space="preserve"> 本届评奖包括以下类型成果：1</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著作（含专著</w:t>
      </w:r>
      <w:r>
        <w:rPr>
          <w:rFonts w:ascii="Times New Roman" w:hAnsi="Times New Roman" w:eastAsia="仿宋_GB2312" w:cs="Times New Roman"/>
          <w:color w:val="000000" w:themeColor="text1"/>
          <w:sz w:val="30"/>
          <w:szCs w:val="30"/>
        </w:rPr>
        <w:t>、编著、</w:t>
      </w:r>
      <w:r>
        <w:rPr>
          <w:rFonts w:ascii="Times New Roman" w:hAnsi="Times New Roman" w:eastAsia="仿宋_GB2312" w:cs="Times New Roman"/>
          <w:sz w:val="30"/>
          <w:szCs w:val="30"/>
        </w:rPr>
        <w:t>译著、工具书、古籍整理等）；2</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论文；3</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咨询服务报告；4</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普及读物。</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第四条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第五条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励名额总计1500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第三章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评审机构</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第六条</w:t>
      </w:r>
      <w:r>
        <w:rPr>
          <w:rFonts w:ascii="Times New Roman" w:hAnsi="Times New Roman" w:eastAsia="仿宋_GB2312" w:cs="Times New Roman"/>
          <w:sz w:val="30"/>
          <w:szCs w:val="30"/>
        </w:rPr>
        <w:t xml:space="preserve"> 奖励委员会由知名专家学者和有关部门同志组成。其主要职责是审议裁定异议问题处理结果、审定奖励成果名单和奖励等级。</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第七条</w:t>
      </w:r>
      <w:r>
        <w:rPr>
          <w:rFonts w:ascii="Times New Roman" w:hAnsi="Times New Roman" w:eastAsia="仿宋_GB2312" w:cs="Times New Roman"/>
          <w:sz w:val="30"/>
          <w:szCs w:val="30"/>
        </w:rPr>
        <w:t xml:space="preserve"> 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第八条</w:t>
      </w:r>
      <w:r>
        <w:rPr>
          <w:rFonts w:ascii="Times New Roman" w:hAnsi="Times New Roman" w:eastAsia="仿宋_GB2312" w:cs="Times New Roman"/>
          <w:sz w:val="30"/>
          <w:szCs w:val="30"/>
        </w:rPr>
        <w:t xml:space="preserve"> 奖励委员会办公室（简称评奖办）设在教育部社会科学司，负责组织申报、评审、异议处理等具体工作。</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第四章</w:t>
      </w:r>
      <w:r>
        <w:rPr>
          <w:rFonts w:ascii="Times New Roman" w:hAnsi="Times New Roman" w:eastAsia="黑体" w:cs="Times New Roman"/>
          <w:sz w:val="30"/>
          <w:szCs w:val="30"/>
        </w:rPr>
        <w:t xml:space="preserve"> </w:t>
      </w:r>
      <w:r>
        <w:rPr>
          <w:rFonts w:ascii="Times New Roman" w:hAnsi="黑体" w:eastAsia="黑体" w:cs="Times New Roman"/>
          <w:sz w:val="30"/>
          <w:szCs w:val="30"/>
        </w:rPr>
        <w:t>申报条件与程序</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第九条</w:t>
      </w:r>
      <w:r>
        <w:rPr>
          <w:rFonts w:ascii="Times New Roman" w:hAnsi="Times New Roman" w:eastAsia="仿宋_GB2312" w:cs="Times New Roman"/>
          <w:sz w:val="30"/>
          <w:szCs w:val="30"/>
        </w:rPr>
        <w:t xml:space="preserve"> 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各申报单位要坚持质量第一的导向，按照政治标准与学术标准相统一的原则，科学合理分配申报名额，规范申报程序，切实做好申报遴选工作。</w:t>
      </w: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第十条</w:t>
      </w:r>
      <w:r>
        <w:rPr>
          <w:rFonts w:ascii="Times New Roman" w:hAnsi="Times New Roman" w:eastAsia="仿宋_GB2312" w:cs="Times New Roman"/>
          <w:sz w:val="30"/>
          <w:szCs w:val="30"/>
        </w:rPr>
        <w:t xml:space="preserve"> 申报本届高等学校科学研究优秀成果奖(人文社会科学)应符合下列要求：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1.申报学校资格：申报学校应是全国普通高等学校。</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2.申报者资格：</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（1）申报期间人事关系在高校的教师和研究人员（包括离退休人员）均可申报。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（2）在高校开展实质性研究工作的兼职人员，成果发表时署名单位标注兼职高校的，可从兼职高校申报。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已故作者的成果，系在本届评奖申报时限内首次公开出版、发表的，经法定继承人同意，其独立完成的成果，可由作者生前所在单位提请申报；其作为第一署名人的合作成果，可由其他做出主要贡献的作者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（5）每位申报者限申报一项成果；合作成果限一人申报，或以课题组名义申报。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（6）青年奖申报者成果出版、发表或被采纳时年龄应在40周岁及以内。</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3.参评成果资格与要求：</w:t>
      </w:r>
    </w:p>
    <w:p>
      <w:pPr>
        <w:adjustRightInd w:val="0"/>
        <w:spacing w:line="530" w:lineRule="exact"/>
        <w:ind w:firstLine="555"/>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（1）为充分展示党的十八大特别是习近平总书记主持召开哲学社会科学工作座谈会以来高校哲学社会科学研究成果，本届参评成果的出版、发表起止时间定为2014年1月1日至</w:t>
      </w:r>
      <w:r>
        <w:rPr>
          <w:rFonts w:ascii="Times New Roman" w:hAnsi="Times New Roman" w:eastAsia="仿宋_GB2312" w:cs="Times New Roman"/>
          <w:color w:val="000000" w:themeColor="text1"/>
          <w:sz w:val="30"/>
          <w:szCs w:val="30"/>
        </w:rPr>
        <w:t>2017年12月31日</w:t>
      </w:r>
      <w:r>
        <w:rPr>
          <w:rFonts w:ascii="Times New Roman" w:hAnsi="Times New Roman" w:eastAsia="仿宋_GB2312" w:cs="Times New Roman"/>
          <w:sz w:val="30"/>
          <w:szCs w:val="30"/>
        </w:rPr>
        <w:t>。</w:t>
      </w:r>
      <w:r>
        <w:rPr>
          <w:rFonts w:ascii="Times New Roman" w:hAnsi="Times New Roman" w:eastAsia="仿宋_GB2312" w:cs="Times New Roman"/>
          <w:color w:val="000000" w:themeColor="text1"/>
          <w:sz w:val="30"/>
          <w:szCs w:val="30"/>
        </w:rPr>
        <w:t>咨询服务报告类</w:t>
      </w:r>
      <w:r>
        <w:rPr>
          <w:rFonts w:ascii="Times New Roman" w:hAnsi="Times New Roman" w:eastAsia="仿宋_GB2312" w:cs="Times New Roman"/>
          <w:sz w:val="30"/>
          <w:szCs w:val="30"/>
        </w:rPr>
        <w:t>成果以被有关部门采纳的时间为准。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（2）多卷本研究著作以最后一卷出版的时间为准，在符合上述申报时限的情况下做整体申报。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（3）丛书不能作为一项研究成果整体申报，只能以其中独立完整的著作单独申报。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（4）个人学术文集（含论文集），在本届评奖申报时限内公开出版且首次发表内容不低于50%的，可作为著作类成果申报；多人撰写的论文集只能由论文作者以单篇申报。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（6）咨询服务报告类成果，须提交实际应用部门（党政机关、事业单位、大中型以上企业等）采纳或应用证明以及关于成果效果和社会影响方面的佐证材料。 </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（7）普及读物奖申报成果形式为著作，须提交关于成果效果和社会影响方面的佐证材料，包括图书发行量、书评、相关新闻报道、受众反响等。</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（8）以少数民族语言公开出版的著作，申报时应有主要章节的国家通用语言文字翻译；以少数民族语言公开发表的论文，申报时应附有主要内容的国家通用语言文字摘要。</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以外文公开出版的著作，申报时应有主要章节的中文翻译；以外文公开发表的论文，申报时应附有主要内容的中文摘要。</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4.下列成果的申请不予受理：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（1）违反学术规范或者著作权存在争议的成果；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（2）教材和教辅；</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themeColor="text1"/>
          <w:sz w:val="30"/>
          <w:szCs w:val="30"/>
        </w:rPr>
        <w:t>涉及国家秘密</w:t>
      </w:r>
      <w:r>
        <w:rPr>
          <w:rFonts w:ascii="Times New Roman" w:hAnsi="Times New Roman" w:eastAsia="仿宋_GB2312" w:cs="Times New Roman"/>
          <w:sz w:val="30"/>
          <w:szCs w:val="30"/>
        </w:rPr>
        <w:t>或不能提交实际应用部门证明材料的咨询服务报告类成果；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（4）文学艺术创作类作品。</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第十一条</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第十二条</w:t>
      </w:r>
      <w:r>
        <w:rPr>
          <w:rFonts w:ascii="Times New Roman" w:hAnsi="Times New Roman" w:eastAsia="仿宋_GB2312" w:cs="Times New Roman"/>
          <w:sz w:val="30"/>
          <w:szCs w:val="30"/>
        </w:rPr>
        <w:t xml:space="preserve"> 申报单位要切实把好政治方向关和学术质量关，对申报材料进行汇总、审核，并在本单位进行网上公示后（公示期不少于5个工作日），在规定时间内集中向评奖办提交。未经公示的申报材料，评奖办不予受理。评奖办对申报材料进行形式审查，审查的主要内容为申报者、申报成果、申报评审书及相关证明材料等是否符合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第十三条</w:t>
      </w:r>
      <w:r>
        <w:rPr>
          <w:rFonts w:ascii="Times New Roman" w:hAnsi="Times New Roman" w:eastAsia="仿宋_GB2312" w:cs="Times New Roman"/>
          <w:sz w:val="30"/>
          <w:szCs w:val="30"/>
        </w:rPr>
        <w:t xml:space="preserve"> 实行申报公示制，所有通过审核的成果将在“中华人民共和国教育部政府门户网站”</w:t>
      </w:r>
      <w:r>
        <w:rPr>
          <w:rFonts w:ascii="Times New Roman" w:hAnsi="Times New Roman" w:eastAsia="仿宋_GB2312" w:cs="Times New Roman"/>
          <w:color w:val="000000" w:themeColor="text1"/>
          <w:sz w:val="30"/>
          <w:szCs w:val="30"/>
        </w:rPr>
        <w:t xml:space="preserve"> “中国高校人文社会科学信息网”</w:t>
      </w:r>
      <w:r>
        <w:rPr>
          <w:rFonts w:ascii="Times New Roman" w:hAnsi="Times New Roman" w:eastAsia="仿宋_GB2312" w:cs="Times New Roman"/>
          <w:sz w:val="30"/>
          <w:szCs w:val="30"/>
        </w:rPr>
        <w:t>等平台进行公示（公示期不少于5个工作日）。公示期间，</w:t>
      </w:r>
      <w:r>
        <w:rPr>
          <w:rFonts w:ascii="Times New Roman" w:hAnsi="Times New Roman" w:eastAsia="仿宋_GB2312" w:cs="Times New Roman"/>
          <w:color w:val="000000" w:themeColor="text1"/>
          <w:sz w:val="30"/>
          <w:szCs w:val="30"/>
        </w:rPr>
        <w:t>任何单位或个人均可对有违反学术规范等行为的申报成果提出实名举报，</w:t>
      </w:r>
      <w:r>
        <w:rPr>
          <w:rFonts w:ascii="Times New Roman" w:hAnsi="Times New Roman" w:eastAsia="仿宋_GB2312" w:cs="Times New Roman"/>
          <w:sz w:val="30"/>
          <w:szCs w:val="30"/>
        </w:rPr>
        <w:t>并附相关证据材料。经评奖办核查，举报属实的，撤销其申报资格。</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第五章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评审标准</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第十四条</w:t>
      </w:r>
      <w:r>
        <w:rPr>
          <w:rFonts w:ascii="Times New Roman" w:hAnsi="Times New Roman" w:eastAsia="仿宋_GB2312" w:cs="Times New Roman"/>
          <w:sz w:val="30"/>
          <w:szCs w:val="30"/>
        </w:rPr>
        <w:t xml:space="preserve"> 本届评奖遵循以下标准：</w:t>
      </w:r>
    </w:p>
    <w:p>
      <w:pPr>
        <w:tabs>
          <w:tab w:val="left" w:pos="6096"/>
        </w:tabs>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政治标准：坚持以马克思主义为指导，充分体现习近平新时代中国特色社会主义思想，树牢“四个意识”，坚定“四个自信”，坚决做到“两个维护”，坚持正确的政治方向、</w:t>
      </w:r>
      <w:r>
        <w:rPr>
          <w:rFonts w:ascii="Times New Roman" w:hAnsi="Times New Roman" w:eastAsia="仿宋_GB2312" w:cs="Times New Roman"/>
          <w:color w:val="000000" w:themeColor="text1"/>
          <w:sz w:val="30"/>
          <w:szCs w:val="30"/>
        </w:rPr>
        <w:t>价值取向和研究导向</w:t>
      </w:r>
      <w:r>
        <w:rPr>
          <w:rFonts w:ascii="Times New Roman" w:hAnsi="Times New Roman" w:eastAsia="仿宋_GB2312" w:cs="Times New Roman"/>
          <w:sz w:val="30"/>
          <w:szCs w:val="30"/>
        </w:rPr>
        <w:t>。</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学术标准：</w:t>
      </w:r>
      <w:r>
        <w:rPr>
          <w:rFonts w:ascii="Times New Roman" w:hAnsi="Times New Roman" w:eastAsia="仿宋_GB2312" w:cs="Times New Roman"/>
          <w:sz w:val="30"/>
          <w:szCs w:val="30"/>
        </w:rPr>
        <w:t>成果须具有原创性、开拓性，体现中国特色，在理论上有所建树，在学术上有所创新，填补了本研究领域的某些空白，推动了学科建设和理论发展。</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学风标准：符合学术道德和学术规范，观点鲜明、论据充分，资料翔实、数据准确，逻辑严密、方法科学，没有知识产权等方面的争议。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实际贡献：</w:t>
      </w:r>
      <w:r>
        <w:rPr>
          <w:rFonts w:ascii="Times New Roman" w:hAnsi="Times New Roman" w:eastAsia="仿宋_GB2312" w:cs="Times New Roman"/>
          <w:sz w:val="30"/>
          <w:szCs w:val="30"/>
        </w:rPr>
        <w:t>成果的学术价值得到学术界和社会的重视和好评；或在解决党和国家事业发展中的重大现实问题上有所贡献。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第十五条</w:t>
      </w:r>
      <w:r>
        <w:rPr>
          <w:rFonts w:ascii="Times New Roman" w:hAnsi="Times New Roman" w:eastAsia="仿宋_GB2312" w:cs="Times New Roman"/>
          <w:sz w:val="30"/>
          <w:szCs w:val="30"/>
        </w:rPr>
        <w:t xml:space="preserve"> 各奖项具体标准如下：</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Lines="50" w:afterLines="50" w:line="530" w:lineRule="exact"/>
        <w:ind w:firstLine="600" w:firstLineChars="200"/>
        <w:contextualSpacing/>
        <w:rPr>
          <w:rFonts w:ascii="Times New Roman" w:hAnsi="Times New Roman" w:eastAsia="仿宋_GB2312" w:cs="Times New Roman"/>
          <w:color w:val="FF0000"/>
          <w:sz w:val="30"/>
          <w:szCs w:val="30"/>
        </w:rPr>
      </w:pPr>
      <w:r>
        <w:rPr>
          <w:rFonts w:ascii="Times New Roman" w:hAnsi="楷体" w:eastAsia="楷体" w:cs="Times New Roman"/>
          <w:sz w:val="30"/>
          <w:szCs w:val="30"/>
        </w:rPr>
        <w:t>第十六条</w:t>
      </w:r>
      <w:r>
        <w:rPr>
          <w:rFonts w:ascii="Times New Roman" w:hAnsi="Times New Roman" w:eastAsia="仿宋_GB2312" w:cs="Times New Roman"/>
          <w:sz w:val="30"/>
          <w:szCs w:val="30"/>
        </w:rPr>
        <w:t xml:space="preserve"> 普及读物奖成果应具有较强的科学性、知识性和可读性，在宣传党的创新理论、阐释解答人民群众关心的热点难点问题以及人文社会科学知识传播普及方面产生良好社会效果。</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楷体" w:eastAsia="楷体" w:cs="Times New Roman"/>
          <w:sz w:val="30"/>
          <w:szCs w:val="30"/>
        </w:rPr>
        <w:t>第十七条</w:t>
      </w:r>
      <w:r>
        <w:rPr>
          <w:rFonts w:ascii="Times New Roman" w:hAnsi="Times New Roman" w:eastAsia="仿宋_GB2312" w:cs="Times New Roman"/>
          <w:sz w:val="30"/>
          <w:szCs w:val="30"/>
        </w:rPr>
        <w:t xml:space="preserve"> 青年奖成果应具有重要学术意义，在所研究的领域内有明显创新和突破，具有较为重要的理论和实践价值，对学术发展或解决实践问题具有一定推动作用，在国内外产生一定影响</w:t>
      </w:r>
      <w:r>
        <w:rPr>
          <w:rFonts w:ascii="Times New Roman" w:hAnsi="Times New Roman" w:eastAsia="仿宋_GB2312" w:cs="Times New Roman"/>
          <w:color w:val="000000" w:themeColor="text1"/>
          <w:sz w:val="30"/>
          <w:szCs w:val="30"/>
        </w:rPr>
        <w:t>。</w:t>
      </w:r>
    </w:p>
    <w:p>
      <w:pPr>
        <w:adjustRightInd w:val="0"/>
        <w:spacing w:beforeLines="50" w:afterLines="50" w:line="530" w:lineRule="exact"/>
        <w:ind w:firstLine="600" w:firstLineChars="200"/>
        <w:contextualSpacing/>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第六章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评审程序</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第十八条</w:t>
      </w:r>
      <w:r>
        <w:rPr>
          <w:rFonts w:ascii="Times New Roman" w:hAnsi="Times New Roman" w:eastAsia="仿宋_GB2312" w:cs="Times New Roman"/>
          <w:sz w:val="30"/>
          <w:szCs w:val="30"/>
        </w:rPr>
        <w:t xml:space="preserve"> 评审工作坚持质量第一、宁缺勿滥和公开、公平、公正的原则，先后分为通讯评审和会议评审两个部分，均委托第三方机构组织。</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第十九条</w:t>
      </w:r>
      <w:r>
        <w:rPr>
          <w:rFonts w:ascii="Times New Roman" w:hAnsi="Times New Roman" w:eastAsia="仿宋_GB2312" w:cs="Times New Roman"/>
          <w:sz w:val="30"/>
          <w:szCs w:val="30"/>
        </w:rPr>
        <w:t xml:space="preserve"> </w:t>
      </w:r>
      <w:r>
        <w:rPr>
          <w:rFonts w:ascii="Times New Roman" w:hAnsi="Times New Roman" w:eastAsia="仿宋_GB2312" w:cs="Times New Roman"/>
          <w:color w:val="000000" w:themeColor="text1"/>
          <w:sz w:val="30"/>
          <w:szCs w:val="30"/>
        </w:rPr>
        <w:t>通讯</w:t>
      </w:r>
      <w:r>
        <w:rPr>
          <w:rFonts w:ascii="Times New Roman" w:hAnsi="Times New Roman" w:eastAsia="仿宋_GB2312" w:cs="Times New Roman"/>
          <w:sz w:val="30"/>
          <w:szCs w:val="30"/>
        </w:rPr>
        <w:t>评审按照回避性原则，由专家分组对申报成果进行匿名评审打分，根据通讯评审分数（去掉1个最高分、1个最低分）对成果进行排序，按照各学科申报数量的</w:t>
      </w:r>
      <w:r>
        <w:rPr>
          <w:rFonts w:ascii="Times New Roman" w:hAnsi="Times New Roman" w:eastAsia="仿宋_GB2312" w:cs="Times New Roman"/>
          <w:color w:val="000000" w:themeColor="text1"/>
          <w:sz w:val="30"/>
          <w:szCs w:val="30"/>
        </w:rPr>
        <w:t>40%</w:t>
      </w:r>
      <w:r>
        <w:rPr>
          <w:rFonts w:ascii="Times New Roman" w:hAnsi="Times New Roman" w:eastAsia="仿宋_GB2312" w:cs="Times New Roman"/>
          <w:sz w:val="30"/>
          <w:szCs w:val="30"/>
        </w:rPr>
        <w:t>，确定进入会议评审的成果名单。每个通讯评审专家组由7—9人组成。</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第二十条</w:t>
      </w:r>
      <w:r>
        <w:rPr>
          <w:rFonts w:ascii="Times New Roman" w:hAnsi="Times New Roman" w:eastAsia="仿宋_GB2312" w:cs="Times New Roman"/>
          <w:sz w:val="30"/>
          <w:szCs w:val="30"/>
        </w:rPr>
        <w:t xml:space="preserve"> 会议评审采取集中独立评审方式，按照学科设立若干评审组，评审专家不交流、不讨论、不开会，独立审阅进入会议评审成果的申报材料，按各学科奖项分配数推荐奖励成果并打分。每个会议评审专家组由5—9人组成。</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第二十一条</w:t>
      </w:r>
      <w:r>
        <w:rPr>
          <w:rFonts w:ascii="Times New Roman" w:hAnsi="Times New Roman" w:eastAsia="仿宋_GB2312" w:cs="Times New Roman"/>
          <w:sz w:val="30"/>
          <w:szCs w:val="30"/>
        </w:rPr>
        <w:t xml:space="preserve"> 评奖办对会议评审专家组提出的推荐奖励成果和奖励等级进行复核。按学科类别从高分到低分对申报成果进行排序，根据各学科奖项分配数，形成奖励成果建议名单。</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第二十二条</w:t>
      </w:r>
      <w:r>
        <w:rPr>
          <w:rFonts w:ascii="Times New Roman" w:hAnsi="Times New Roman" w:eastAsia="仿宋_GB2312" w:cs="Times New Roman"/>
          <w:sz w:val="30"/>
          <w:szCs w:val="30"/>
        </w:rPr>
        <w:t xml:space="preserve"> 奖励委员会召开全体会议听取评奖办关于评奖工作情况的汇报，对奖励成果建议名单进行审议，决定奖励成果名单和奖励等级。</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第二十三条</w:t>
      </w:r>
      <w:r>
        <w:rPr>
          <w:rFonts w:ascii="Times New Roman" w:hAnsi="Times New Roman" w:eastAsia="仿宋_GB2312" w:cs="Times New Roman"/>
          <w:sz w:val="30"/>
          <w:szCs w:val="30"/>
        </w:rPr>
        <w:t xml:space="preserve"> 奖励委员会审定的奖励成果名单，经公示和异议处理后，报教育部批准并正式公布。</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第七章</w:t>
      </w:r>
      <w:r>
        <w:rPr>
          <w:rFonts w:ascii="Times New Roman" w:hAnsi="Times New Roman" w:eastAsia="黑体" w:cs="Times New Roman"/>
          <w:sz w:val="30"/>
          <w:szCs w:val="30"/>
        </w:rPr>
        <w:t xml:space="preserve"> </w:t>
      </w:r>
      <w:r>
        <w:rPr>
          <w:rFonts w:ascii="Times New Roman" w:hAnsi="黑体" w:eastAsia="黑体" w:cs="Times New Roman"/>
          <w:sz w:val="30"/>
          <w:szCs w:val="30"/>
        </w:rPr>
        <w:t>异议处理</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第二十四条</w:t>
      </w:r>
      <w:r>
        <w:rPr>
          <w:rFonts w:ascii="Times New Roman" w:hAnsi="Times New Roman" w:eastAsia="仿宋_GB2312" w:cs="Times New Roman"/>
          <w:sz w:val="30"/>
          <w:szCs w:val="30"/>
        </w:rPr>
        <w:t xml:space="preserve"> 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评奖办提出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第二十五条</w:t>
      </w:r>
      <w:r>
        <w:rPr>
          <w:rFonts w:ascii="Times New Roman" w:hAnsi="Times New Roman" w:eastAsia="仿宋_GB2312" w:cs="Times New Roman"/>
          <w:sz w:val="30"/>
          <w:szCs w:val="30"/>
        </w:rPr>
        <w:t xml:space="preserve"> 提出异议需符合以下条件：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1．以实名方式提出。单位提出的异议，须在异议材料上加盖本单位公章，并写明联系人姓名和联系方式。个人提出的异议，须提供本人真实姓名和联系方式；</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2．提供翔实可资调查取证的材料。</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以下异议不予受理：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1．非实名提出的异议；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2．对申报成果未获奖的异议；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3．对奖励成果等级的异议；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4．未提交相关证明材料的异议；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5．不属于学术不端、弄虚作假行为的异议。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第二十六条</w:t>
      </w:r>
      <w:r>
        <w:rPr>
          <w:rFonts w:ascii="Times New Roman" w:hAnsi="Times New Roman" w:eastAsia="仿宋_GB2312" w:cs="Times New Roman"/>
          <w:sz w:val="30"/>
          <w:szCs w:val="30"/>
        </w:rPr>
        <w:t xml:space="preserve"> 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第二十七条</w:t>
      </w:r>
      <w:r>
        <w:rPr>
          <w:rFonts w:ascii="Times New Roman" w:hAnsi="Times New Roman" w:eastAsia="仿宋_GB2312" w:cs="Times New Roman"/>
          <w:sz w:val="30"/>
          <w:szCs w:val="30"/>
        </w:rPr>
        <w:t xml:space="preserve"> 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第八章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评奖纪律</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第二十八条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第二十九条</w:t>
      </w:r>
      <w:r>
        <w:rPr>
          <w:rFonts w:ascii="Times New Roman" w:hAnsi="Times New Roman" w:eastAsia="仿宋_GB2312" w:cs="Times New Roman"/>
          <w:sz w:val="30"/>
          <w:szCs w:val="30"/>
        </w:rPr>
        <w:t xml:space="preserve"> 评奖实行严格的回避制度：</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1.奖励委员会委员申报评奖的，应主动申请退出奖励委员会。</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2.本人申报评奖的，不得被聘为评审专家。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3.评审专家如发现与本人有利害关系的人员成果进入评审，本人应主动申请回避；如发现他人存在类似情形，也应提出回避要求。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第三十条</w:t>
      </w:r>
      <w:r>
        <w:rPr>
          <w:rFonts w:ascii="Times New Roman" w:hAnsi="Times New Roman" w:eastAsia="仿宋_GB2312" w:cs="Times New Roman"/>
          <w:sz w:val="30"/>
          <w:szCs w:val="30"/>
        </w:rPr>
        <w:t xml:space="preserve"> 评奖实行严格的保密制度：</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1.奖励委员会委员、评审专家对评奖过程负有保密义务，签订保密承诺书，不得透露有关评审的任何信息。如发现泄密情形，给予通报批评并记入专家信誉档案。</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2.评奖办成员对评奖过程负有保密义务，不得透露评审专家和评审情况信息。如发现泄密情形，给予通报批评并调离评奖办。</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第三十一条</w:t>
      </w:r>
      <w:r>
        <w:rPr>
          <w:rFonts w:ascii="Times New Roman" w:hAnsi="Times New Roman" w:eastAsia="仿宋_GB2312" w:cs="Times New Roman"/>
          <w:sz w:val="30"/>
          <w:szCs w:val="30"/>
        </w:rPr>
        <w:t xml:space="preserve"> 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第九章</w:t>
      </w:r>
      <w:r>
        <w:rPr>
          <w:rFonts w:ascii="Times New Roman" w:hAnsi="Times New Roman" w:eastAsia="黑体" w:cs="Times New Roman"/>
          <w:sz w:val="30"/>
          <w:szCs w:val="30"/>
        </w:rPr>
        <w:t xml:space="preserve"> </w:t>
      </w:r>
      <w:r>
        <w:rPr>
          <w:rFonts w:ascii="Times New Roman" w:hAnsi="黑体" w:eastAsia="黑体" w:cs="Times New Roman"/>
          <w:sz w:val="30"/>
          <w:szCs w:val="30"/>
        </w:rPr>
        <w:t>其他</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第三十二条</w:t>
      </w:r>
      <w:r>
        <w:rPr>
          <w:rFonts w:ascii="Times New Roman" w:hAnsi="Times New Roman" w:eastAsia="仿宋_GB2312" w:cs="Times New Roman"/>
          <w:sz w:val="30"/>
          <w:szCs w:val="30"/>
        </w:rPr>
        <w:t xml:space="preserve"> 本实施办法自公布之日起施行，由评奖办负责解释。</w:t>
      </w:r>
      <w:bookmarkStart w:id="0" w:name="2"/>
      <w:bookmarkEnd w:id="0"/>
      <w:bookmarkStart w:id="1" w:name="sub15165940_2"/>
      <w:bookmarkEnd w:id="1"/>
      <w:bookmarkStart w:id="2" w:name="办法全文"/>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 w:val="1E5C2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4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uiPriority w:val="99"/>
    <w:rPr>
      <w:b/>
      <w:bCs/>
    </w:rPr>
  </w:style>
  <w:style w:type="paragraph" w:styleId="4">
    <w:name w:val="annotation text"/>
    <w:basedOn w:val="1"/>
    <w:link w:val="16"/>
    <w:uiPriority w:val="99"/>
    <w:pPr>
      <w:jc w:val="left"/>
    </w:pPr>
  </w:style>
  <w:style w:type="paragraph" w:styleId="5">
    <w:name w:val="Balloon Text"/>
    <w:basedOn w:val="1"/>
    <w:link w:val="15"/>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styleId="11">
    <w:name w:val="annotation reference"/>
    <w:basedOn w:val="9"/>
    <w:uiPriority w:val="99"/>
    <w:rPr>
      <w:sz w:val="21"/>
      <w:szCs w:val="21"/>
    </w:rPr>
  </w:style>
  <w:style w:type="character" w:customStyle="1" w:styleId="13">
    <w:name w:val="页眉 Char"/>
    <w:basedOn w:val="9"/>
    <w:link w:val="7"/>
    <w:uiPriority w:val="99"/>
    <w:rPr>
      <w:sz w:val="18"/>
      <w:szCs w:val="18"/>
    </w:rPr>
  </w:style>
  <w:style w:type="character" w:customStyle="1" w:styleId="14">
    <w:name w:val="页脚 Char"/>
    <w:basedOn w:val="9"/>
    <w:link w:val="6"/>
    <w:uiPriority w:val="99"/>
    <w:rPr>
      <w:sz w:val="18"/>
      <w:szCs w:val="18"/>
    </w:rPr>
  </w:style>
  <w:style w:type="character" w:customStyle="1" w:styleId="15">
    <w:name w:val="批注框文本 Char"/>
    <w:basedOn w:val="9"/>
    <w:link w:val="5"/>
    <w:uiPriority w:val="99"/>
    <w:rPr>
      <w:sz w:val="18"/>
      <w:szCs w:val="18"/>
    </w:rPr>
  </w:style>
  <w:style w:type="character" w:customStyle="1" w:styleId="16">
    <w:name w:val="批注文字 Char"/>
    <w:basedOn w:val="9"/>
    <w:link w:val="4"/>
    <w:uiPriority w:val="99"/>
  </w:style>
  <w:style w:type="character" w:customStyle="1" w:styleId="17">
    <w:name w:val="批注主题 Char"/>
    <w:basedOn w:val="16"/>
    <w:link w:val="3"/>
    <w:uiPriority w:val="99"/>
    <w:rPr>
      <w:b/>
      <w:bCs/>
    </w:rPr>
  </w:style>
  <w:style w:type="paragraph" w:styleId="18">
    <w:name w:val="List Paragraph"/>
    <w:basedOn w:val="1"/>
    <w:qFormat/>
    <w:uiPriority w:val="34"/>
    <w:pPr>
      <w:ind w:firstLine="420" w:firstLineChars="200"/>
    </w:pPr>
  </w:style>
  <w:style w:type="paragraph" w:customStyle="1" w:styleId="19">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0">
    <w:name w:val="&quot;annotation subject&quot;"/>
    <w:basedOn w:val="19"/>
    <w:qFormat/>
    <w:uiPriority w:val="0"/>
    <w:rPr>
      <w:b/>
    </w:rPr>
  </w:style>
  <w:style w:type="paragraph" w:customStyle="1" w:styleId="21">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2">
    <w:name w:val="&quot;Normal (Web)&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23">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4">
    <w:name w:val="&quot;Balloon Tex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5">
    <w:name w:val="&quot;header&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6">
    <w:name w:val="&quot;&quot;header&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footer&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8">
    <w:name w:val="&quot;&quot;Balloon Tex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9">
    <w:name w:val="&quot;&quot;Normal (Web)&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0">
    <w:name w:val="&quot;&quot;annotation subjec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1">
    <w:name w:val="&quot;&quot;annotation tex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2">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3">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Normal (Web)&quot;&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5">
    <w:name w:val="&quot;&quot;&quot;annotation subject&quo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6">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7">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8">
    <w:name w:val="&quot;&quot;&quot;annotation text&quo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9">
    <w:name w:val="&quot;&quot;&quot;header&quot;&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0">
    <w:name w:val="&quot;&quot;&quot;&quot;Balloon Text&quo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1">
    <w:name w:val="&quot;&quot;&quot;&quot;Normal (Web)&quot;&quot;&quot;&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42">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3">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4">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5">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6">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7">
    <w:name w:val="标题 2 Char"/>
    <w:basedOn w:val="9"/>
    <w:link w:val="2"/>
    <w:qFormat/>
    <w:uiPriority w:val="9"/>
    <w:rPr>
      <w:rFonts w:ascii="宋体" w:hAnsi="宋体" w:eastAsia="宋体" w:cs="宋体"/>
      <w:b/>
      <w:bCs/>
      <w:kern w:val="0"/>
      <w:sz w:val="36"/>
      <w:szCs w:val="36"/>
    </w:rPr>
  </w:style>
  <w:style w:type="paragraph" w:customStyle="1" w:styleId="4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10895-11EA-4B43-A49B-EFE4615583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906</Words>
  <Characters>5165</Characters>
  <Lines>43</Lines>
  <Paragraphs>12</Paragraphs>
  <TotalTime>0</TotalTime>
  <ScaleCrop>false</ScaleCrop>
  <LinksUpToDate>false</LinksUpToDate>
  <CharactersWithSpaces>6059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2019-01-25T00:54:00Z</dcterms:created>
  <dc:creator>王楠</dc:creator>
  <cp:lastModifiedBy>夏至芮知</cp:lastModifiedBy>
  <cp:lastPrinted>2019-01-04T06:52:00Z</cp:lastPrinted>
  <dcterms:modified xsi:type="dcterms:W3CDTF">2019-01-27T03:20:16Z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